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F" w:rsidRDefault="00A93D6F" w:rsidP="00CE71D3">
      <w:pPr>
        <w:framePr w:wrap="none" w:vAnchor="page" w:hAnchor="page" w:x="1779" w:y="492"/>
        <w:rPr>
          <w:sz w:val="2"/>
          <w:szCs w:val="2"/>
          <w:lang w:eastAsia="ru-RU"/>
        </w:rPr>
      </w:pPr>
      <w:r w:rsidRPr="00CE71D3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07.25pt">
            <v:imagedata r:id="rId5" o:title=""/>
          </v:shape>
        </w:pict>
      </w:r>
    </w:p>
    <w:p w:rsidR="00A93D6F" w:rsidRDefault="00A93D6F" w:rsidP="0043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FB2C51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среднего профессионального образования– программа подготовки специалистов среднего звена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Pr="00001DFE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  <w:r w:rsidRPr="00001DFE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B2C51">
        <w:rPr>
          <w:rFonts w:ascii="Times New Roman" w:hAnsi="Times New Roman"/>
          <w:sz w:val="28"/>
          <w:szCs w:val="28"/>
        </w:rPr>
        <w:t xml:space="preserve">11.08.2014 </w:t>
      </w:r>
      <w:r>
        <w:rPr>
          <w:rFonts w:ascii="Times New Roman" w:hAnsi="Times New Roman"/>
          <w:sz w:val="28"/>
          <w:szCs w:val="28"/>
        </w:rPr>
        <w:t>№</w:t>
      </w:r>
      <w:r w:rsidRPr="00FB2C51">
        <w:rPr>
          <w:rFonts w:ascii="Times New Roman" w:hAnsi="Times New Roman"/>
          <w:sz w:val="28"/>
          <w:szCs w:val="28"/>
        </w:rPr>
        <w:t xml:space="preserve"> 975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3D6F" w:rsidRPr="00422756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A93D6F" w:rsidRPr="00435293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A93D6F" w:rsidRPr="00435293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435293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</w:t>
      </w:r>
      <w:r w:rsidRPr="00FD59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5968">
        <w:rPr>
          <w:rFonts w:ascii="Times New Roman" w:hAnsi="Times New Roman"/>
          <w:sz w:val="28"/>
          <w:szCs w:val="28"/>
          <w:lang w:eastAsia="ru-RU"/>
        </w:rPr>
        <w:t>.08.201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30.08.2017 № 375.</w:t>
      </w:r>
    </w:p>
    <w:p w:rsidR="00A93D6F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435293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FD5968">
        <w:rPr>
          <w:rFonts w:ascii="Times New Roman" w:hAnsi="Times New Roman"/>
          <w:sz w:val="28"/>
          <w:szCs w:val="28"/>
          <w:lang w:eastAsia="ru-RU"/>
        </w:rPr>
        <w:t>внесенных изменений и дополнений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рассмотрена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на заседании педагогического совета, </w:t>
      </w:r>
      <w:r>
        <w:rPr>
          <w:rFonts w:ascii="Times New Roman" w:hAnsi="Times New Roman"/>
          <w:sz w:val="28"/>
          <w:szCs w:val="28"/>
          <w:lang w:eastAsia="ru-RU"/>
        </w:rPr>
        <w:t>протокол № 10 от 02.07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8. Утверждена приказом директора от 02.07.2018 № 406.</w:t>
      </w:r>
    </w:p>
    <w:p w:rsidR="00A93D6F" w:rsidRPr="00435293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435293" w:rsidRDefault="00A93D6F" w:rsidP="00001D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Default="00A93D6F" w:rsidP="00356A28">
      <w:pPr>
        <w:pStyle w:val="NormalWeb"/>
        <w:rPr>
          <w:b/>
          <w:sz w:val="28"/>
          <w:szCs w:val="28"/>
        </w:rPr>
      </w:pPr>
    </w:p>
    <w:p w:rsidR="00A93D6F" w:rsidRDefault="00A93D6F" w:rsidP="00356A28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3D6F" w:rsidRPr="00913034" w:rsidRDefault="00A93D6F" w:rsidP="00470473">
      <w:pPr>
        <w:pStyle w:val="NormalWeb"/>
        <w:jc w:val="center"/>
        <w:rPr>
          <w:b/>
          <w:sz w:val="28"/>
          <w:szCs w:val="28"/>
        </w:rPr>
      </w:pPr>
      <w:r w:rsidRPr="00913034">
        <w:rPr>
          <w:b/>
          <w:sz w:val="28"/>
          <w:szCs w:val="28"/>
        </w:rPr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22"/>
      </w:tblGrid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АОП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для разработки 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1.3.1. Цель (миссия)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1.3.2. Срок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1.3.3. Трудоемкость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1.3.4.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1.3.5. Требования к поступающим в ОУ на данную 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A93D6F" w:rsidRPr="00EE571E" w:rsidRDefault="00A93D6F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A93D6F" w:rsidRPr="00754002" w:rsidTr="00E96D52">
        <w:trPr>
          <w:trHeight w:val="343"/>
        </w:trPr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A93D6F" w:rsidRPr="00AC5D8A" w:rsidRDefault="00A93D6F" w:rsidP="00AC5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ФГОС СОО к результатам освоения общеобразовательного цикла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 СПО – ППССЗ 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93D6F" w:rsidRPr="00EE571E" w:rsidRDefault="00A93D6F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A93D6F" w:rsidRPr="00EE571E" w:rsidRDefault="00A93D6F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A93D6F" w:rsidRPr="00913034" w:rsidRDefault="00A93D6F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A93D6F" w:rsidRPr="00E96D52" w:rsidRDefault="00A93D6F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A93D6F" w:rsidRPr="00754002" w:rsidTr="00913034">
        <w:tc>
          <w:tcPr>
            <w:tcW w:w="615" w:type="dxa"/>
          </w:tcPr>
          <w:p w:rsidR="00A93D6F" w:rsidRPr="00EE571E" w:rsidRDefault="00A93D6F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A93D6F" w:rsidRPr="00E96D52" w:rsidRDefault="00A93D6F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A93D6F" w:rsidRDefault="00A93D6F" w:rsidP="00CE71D3">
      <w:pPr>
        <w:pStyle w:val="ListParagraph"/>
        <w:numPr>
          <w:ilvl w:val="0"/>
          <w:numId w:val="37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935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3D6F" w:rsidRPr="00D9350E" w:rsidRDefault="00A93D6F" w:rsidP="00001DF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F3A">
        <w:rPr>
          <w:rFonts w:ascii="Times New Roman" w:hAnsi="Times New Roman"/>
          <w:sz w:val="28"/>
          <w:szCs w:val="28"/>
          <w:shd w:val="clear" w:color="auto" w:fill="FFFFFF"/>
        </w:rPr>
        <w:t>Адаптированная образовательная программа среднего профессионального образования (АОП СПО) –</w:t>
      </w:r>
      <w:r w:rsidRPr="006D4F3A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46.02.01 Документационное обеспечение управления и архивоведение реализуется БПОУ ВО «Вологодский колледж технологии и дизайна» на базе основного общего образования.  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6D4F3A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АОП СПО адаптирована для обучения студентов с расстройством аутистического спектра (РАС).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АОП СПО - ППССЗ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специальности 46.02.01 Документационное обеспечение управления и архивоведение, утвержденного приказом Министерства образования и науки Российской федерации от 11.08.2014 № 975  (Зарегистрировано в Минюсте России 20.08.2014 N 33682) и с учетом требований регионального рынка труда.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АОП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color w:val="000000"/>
          <w:sz w:val="28"/>
          <w:szCs w:val="28"/>
          <w:lang w:eastAsia="ru-RU"/>
        </w:rPr>
        <w:t>АОП СПО - ППССЗ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color w:val="000000"/>
          <w:sz w:val="28"/>
          <w:szCs w:val="28"/>
          <w:lang w:eastAsia="ru-RU"/>
        </w:rPr>
        <w:t>АОП СПО - ППССЗ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 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A93D6F" w:rsidRPr="006D4F3A" w:rsidRDefault="00A93D6F" w:rsidP="00001D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АОП СПО – ППССЗ реализуется с использованием сетевой формы с участием бюджетного профессионального образовательного учреждения Вологодской области «Вологодский строительный колледж» в части реализации учебных дисциплин ОУДБ.06 Физическая культура, ОГСЭ.05 Физическая культура, ОП.15 Безопасность жизнедеятельности. БПОУ ВО «Вологодский строительный колледж» обеспечивает использование открытого стадиона.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 xml:space="preserve">Основными пользователями ППССЗ являются: педагоги и сотрудники колледжа; студенты, обучающиеся по специальности </w:t>
      </w:r>
      <w:r w:rsidRPr="006D4F3A">
        <w:rPr>
          <w:rFonts w:ascii="Times New Roman" w:hAnsi="Times New Roman"/>
          <w:sz w:val="28"/>
          <w:szCs w:val="28"/>
        </w:rPr>
        <w:t>46.02.01 Документационное обеспечение управления и архивоведение</w:t>
      </w:r>
      <w:r w:rsidRPr="006D4F3A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D4F3A">
        <w:rPr>
          <w:rFonts w:ascii="Times New Roman" w:hAnsi="Times New Roman"/>
          <w:b/>
          <w:bCs/>
          <w:i/>
          <w:sz w:val="28"/>
          <w:szCs w:val="28"/>
        </w:rPr>
        <w:t>Психолого-педагогическая характеристика обучающихся с расстройствами аутистического  спектра (РАС).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</w:rPr>
        <w:t>Расстройства аутистического спектра – это общее расстройство развития, характеризующееся стойким нарушением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актами.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обучающихся. РАС связаны с особым системным нарушением психического развития, проявляющимся в становлении его аффективно-волевой сферы, в когнитивном и личностном развитии. Вследствие крайней неоднородности состава обучающихся с РАС диапазон различий  в интеллектуальном и личностном развитии широк.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D4F3A">
        <w:rPr>
          <w:rFonts w:ascii="Times New Roman" w:hAnsi="Times New Roman"/>
          <w:b/>
          <w:i/>
          <w:color w:val="000000"/>
          <w:sz w:val="28"/>
          <w:szCs w:val="28"/>
        </w:rPr>
        <w:t>Специфические особенности лиц с РАС, оказывающие влияние на процесс  профессионального обучения: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нарушения произвольной регуляции деятельности;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выражена потребность в регламентации деятельности, в соблюдении правил;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нуждаются в простых и понятных инструкциях;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 нарушения   восприятия;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 трудности формирования  целостного сенсорного образа (сверхчувствительность  либо нечувствительность  к отдельным сенсорным стимулам);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неравномерность развития психических функций;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трудности в концентрации внимания при наличии множества стимулов;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трудности в переключении внимания с одного вида деятельности на другой при высоком темпе деятельности;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трудности в планировании и самоорганизации деятельности, болезненно реагируют на изменения в планах, неэффективны в условиях многозадачности и неопределенности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сложности с конспектированием, восприятием длинных словесных инструкций, 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склонность к буквальному восприятию (неспособность воспринимать скрытый смысл, шутку, иронию),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обычно хорошо выполняют задачи, задействующие кратковременную память или визуальные навыки, в то время как задачи, вовлекающие символическое или абстрактное мышление, вызывают затруднения.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склонность к систематизации и упорядочиванию учебного материала;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могут игнорировать сигналы опасности в сложной ситуации и тревожиться по незначительному поводу;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мотивирующая деятельность должна быть понятна, доступна и интересна;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выраженная потребность в однообразии, постоянстве;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снижена продуктивность при решении задач в условиях неопределенности;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отличаются ригидностью мышления; 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испытывают недостаток социальных навыков;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избегают зрительного контакта (теряют часть информации, если утрачивают контакт);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повышенная чувствительность к нарушению привычного образа действия или ситуации, собственных границ;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недостаток интереса к другим людям или отсутствие интереса к демонстрации собственных достижений);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склонны воспринимать критические замечания в свой адрес только от авторитетных для них лиц;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проблемы с осознанием своих эмоций (алекситимия) и с управлением ими;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трудности непосредственного «считывания» эмоций других людей и эмоциональной составляющей ситуации;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наличие стереотипных повторяющихся действий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трудности в принятия нового</w:t>
      </w: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боязнь больших пространств, резких звуков.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повышенная истощаемость;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застреваемость на внутренних переживаниях.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D4F3A">
        <w:rPr>
          <w:rFonts w:ascii="Times New Roman" w:hAnsi="Times New Roman"/>
          <w:b/>
          <w:bCs/>
          <w:i/>
          <w:sz w:val="28"/>
          <w:szCs w:val="28"/>
        </w:rPr>
        <w:t>Особые образовательные потребности обучающихся с РАС: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F3A">
        <w:rPr>
          <w:rFonts w:ascii="Times New Roman" w:hAnsi="Times New Roman"/>
          <w:bCs/>
          <w:sz w:val="28"/>
          <w:szCs w:val="28"/>
        </w:rPr>
        <w:t>постепенное  вовлечение в учебный процесс с учетом его индивидуальных особенностей (тревожности, утомляемости, склонности к пресыщению и перевозбуждению);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создание особенно четкой и упорядоченной временно-пространственной структуры занятий;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создание условий обучения, обеспечивающих обстановку сенсорного и эмоционального комфорта (отсутствие резких перепадов настроения, ровный доброжелательный тон голоса преподавателя в отношении любого обучающегося в группе);</w:t>
      </w:r>
    </w:p>
    <w:p w:rsidR="00A93D6F" w:rsidRPr="006D4F3A" w:rsidRDefault="00A93D6F" w:rsidP="000B6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специальная установка педагога на развитие эмоционального контакта с обучающимся с РАС, поддержание в нем уверенности в том, что его принимают, в том, что он успешен на занятиях;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D4F3A">
        <w:rPr>
          <w:rFonts w:ascii="Times New Roman" w:hAnsi="Times New Roman"/>
          <w:kern w:val="2"/>
          <w:sz w:val="28"/>
          <w:szCs w:val="28"/>
          <w:lang w:eastAsia="ar-SA"/>
        </w:rPr>
        <w:t xml:space="preserve">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 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D4F3A">
        <w:rPr>
          <w:rFonts w:ascii="Times New Roman" w:hAnsi="Times New Roman"/>
          <w:kern w:val="2"/>
          <w:sz w:val="28"/>
          <w:szCs w:val="28"/>
          <w:lang w:eastAsia="ar-SA"/>
        </w:rPr>
        <w:t xml:space="preserve">индивидуализация обучения с учетом особенностей нарушений и индивидуальных возможностей обучающихся; 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D4F3A">
        <w:rPr>
          <w:rFonts w:ascii="Times New Roman" w:hAnsi="Times New Roman"/>
          <w:kern w:val="2"/>
          <w:sz w:val="28"/>
          <w:szCs w:val="28"/>
          <w:lang w:eastAsia="ar-SA"/>
        </w:rPr>
        <w:t xml:space="preserve">увеличение при необходимости сроков получения профессионального образования; 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6D4F3A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учёт специфики восприятия и переработки информации, овладения учебным материалом при организации обучения и оценке достижений; 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6D4F3A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дополнять и уточнять смысл высказывания и др.).</w:t>
      </w:r>
    </w:p>
    <w:p w:rsidR="00A93D6F" w:rsidRPr="006D4F3A" w:rsidRDefault="00A93D6F" w:rsidP="000B637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A93D6F" w:rsidRPr="006D4F3A" w:rsidRDefault="00A93D6F" w:rsidP="000B637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F3A">
        <w:rPr>
          <w:rFonts w:ascii="Times New Roman" w:hAnsi="Times New Roman"/>
          <w:b/>
          <w:sz w:val="28"/>
          <w:szCs w:val="28"/>
        </w:rPr>
        <w:t>Нормативные документы для разработки ОП СПО – ППССЗ</w:t>
      </w:r>
    </w:p>
    <w:p w:rsidR="00A93D6F" w:rsidRPr="006D4F3A" w:rsidRDefault="00A93D6F" w:rsidP="000B6372">
      <w:pPr>
        <w:pStyle w:val="ListParagraph"/>
        <w:spacing w:after="0" w:line="240" w:lineRule="auto"/>
        <w:ind w:left="98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6D4F3A" w:rsidRDefault="00A93D6F" w:rsidP="000B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ППССЗ являются: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6D4F3A">
        <w:rPr>
          <w:rFonts w:ascii="Times New Roman" w:hAnsi="Times New Roman"/>
          <w:sz w:val="28"/>
          <w:szCs w:val="28"/>
        </w:rPr>
        <w:t xml:space="preserve">; </w:t>
      </w:r>
    </w:p>
    <w:p w:rsidR="00A93D6F" w:rsidRPr="006D4F3A" w:rsidRDefault="00A93D6F" w:rsidP="000B6372">
      <w:pPr>
        <w:pStyle w:val="ConsPlusTitle"/>
        <w:widowControl/>
        <w:ind w:left="567"/>
        <w:jc w:val="both"/>
        <w:rPr>
          <w:b w:val="0"/>
          <w:sz w:val="28"/>
          <w:szCs w:val="28"/>
        </w:rPr>
      </w:pPr>
      <w:r w:rsidRPr="006D4F3A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 3141-03;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СПО по специальности 46.02.01 Документационное обеспечение управления и архивоведение</w:t>
      </w:r>
      <w:r w:rsidRPr="006D4F3A">
        <w:rPr>
          <w:rFonts w:ascii="Times New Roman" w:hAnsi="Times New Roman"/>
          <w:sz w:val="28"/>
          <w:szCs w:val="28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Pr="006D4F3A">
        <w:rPr>
          <w:rFonts w:ascii="Times New Roman" w:hAnsi="Times New Roman"/>
          <w:sz w:val="28"/>
          <w:szCs w:val="28"/>
        </w:rPr>
        <w:t>11.08.2014 № 975</w:t>
      </w:r>
      <w:r w:rsidRPr="006D4F3A">
        <w:rPr>
          <w:rFonts w:ascii="Times New Roman" w:hAnsi="Times New Roman"/>
          <w:sz w:val="28"/>
          <w:szCs w:val="28"/>
          <w:lang w:eastAsia="ru-RU"/>
        </w:rPr>
        <w:t>(</w:t>
      </w:r>
      <w:r w:rsidRPr="006D4F3A">
        <w:rPr>
          <w:rFonts w:ascii="Times New Roman" w:hAnsi="Times New Roman"/>
          <w:sz w:val="28"/>
          <w:szCs w:val="28"/>
        </w:rPr>
        <w:t>Зарегистрировано в Минюсте России 20.08.2014 № 33682</w:t>
      </w:r>
      <w:r w:rsidRPr="006D4F3A">
        <w:rPr>
          <w:rFonts w:ascii="Times New Roman" w:hAnsi="Times New Roman"/>
          <w:sz w:val="28"/>
          <w:szCs w:val="28"/>
          <w:lang w:eastAsia="ru-RU"/>
        </w:rPr>
        <w:t>);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18.04 </w:t>
      </w:r>
      <w:smartTag w:uri="urn:schemas-microsoft-com:office:smarttags" w:element="metricconverter">
        <w:smartTagPr>
          <w:attr w:name="ProductID" w:val="2013 г"/>
        </w:smartTagPr>
        <w:r w:rsidRPr="006D4F3A">
          <w:rPr>
            <w:rFonts w:ascii="Times New Roman" w:hAnsi="Times New Roman"/>
            <w:sz w:val="28"/>
            <w:szCs w:val="28"/>
          </w:rPr>
          <w:t>2013 г</w:t>
        </w:r>
      </w:smartTag>
      <w:r w:rsidRPr="006D4F3A">
        <w:rPr>
          <w:rFonts w:ascii="Times New Roman" w:hAnsi="Times New Roman"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F3A">
        <w:rPr>
          <w:rFonts w:ascii="Times New Roman" w:hAnsi="Times New Roman"/>
          <w:sz w:val="28"/>
          <w:szCs w:val="28"/>
        </w:rPr>
        <w:t>п</w:t>
      </w:r>
      <w:r w:rsidRPr="006D4F3A">
        <w:rPr>
          <w:rFonts w:ascii="Times New Roman" w:hAnsi="Times New Roman"/>
          <w:sz w:val="28"/>
          <w:szCs w:val="28"/>
          <w:lang w:eastAsia="ru-RU"/>
        </w:rPr>
        <w:t>риказ Минобрнауки России от 14.09.2016 № 1193</w:t>
      </w:r>
      <w:r w:rsidRPr="006D4F3A">
        <w:rPr>
          <w:rFonts w:ascii="Times New Roman" w:hAnsi="Times New Roman"/>
          <w:sz w:val="28"/>
          <w:szCs w:val="28"/>
          <w:lang w:eastAsia="ru-RU"/>
        </w:rPr>
        <w:br/>
        <w:t xml:space="preserve"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N 43932); 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  <w:lang w:eastAsia="ru-RU"/>
        </w:rPr>
        <w:t>п</w:t>
      </w:r>
      <w:r w:rsidRPr="006D4F3A">
        <w:rPr>
          <w:rFonts w:ascii="Times New Roman" w:hAnsi="Times New Roman"/>
          <w:sz w:val="28"/>
          <w:szCs w:val="28"/>
        </w:rPr>
        <w:t xml:space="preserve">риказ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6D4F3A">
          <w:rPr>
            <w:rFonts w:ascii="Times New Roman" w:hAnsi="Times New Roman"/>
            <w:sz w:val="28"/>
            <w:szCs w:val="28"/>
          </w:rPr>
          <w:t>2014 г</w:t>
        </w:r>
      </w:smartTag>
      <w:r w:rsidRPr="006D4F3A">
        <w:rPr>
          <w:rFonts w:ascii="Times New Roman" w:hAnsi="Times New Roman"/>
          <w:sz w:val="28"/>
          <w:szCs w:val="28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D4F3A">
          <w:rPr>
            <w:rFonts w:ascii="Times New Roman" w:hAnsi="Times New Roman"/>
            <w:sz w:val="28"/>
            <w:szCs w:val="28"/>
          </w:rPr>
          <w:t>2013 г</w:t>
        </w:r>
      </w:smartTag>
      <w:r w:rsidRPr="006D4F3A">
        <w:rPr>
          <w:rFonts w:ascii="Times New Roman" w:hAnsi="Times New Roman"/>
          <w:sz w:val="28"/>
          <w:szCs w:val="28"/>
        </w:rPr>
        <w:t>. № 464»;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образования»;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A93D6F" w:rsidRPr="006D4F3A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A93D6F" w:rsidRPr="00053437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4F3A">
        <w:rPr>
          <w:rFonts w:ascii="Times New Roman" w:hAnsi="Times New Roman"/>
          <w:sz w:val="28"/>
          <w:szCs w:val="28"/>
        </w:rPr>
        <w:t xml:space="preserve">письмо Минобрнауки России от 17 марта  </w:t>
      </w:r>
      <w:smartTag w:uri="urn:schemas-microsoft-com:office:smarttags" w:element="metricconverter">
        <w:smartTagPr>
          <w:attr w:name="ProductID" w:val="2015 г"/>
        </w:smartTagPr>
        <w:r w:rsidRPr="006D4F3A">
          <w:rPr>
            <w:rFonts w:ascii="Times New Roman" w:hAnsi="Times New Roman"/>
            <w:sz w:val="28"/>
            <w:szCs w:val="28"/>
          </w:rPr>
          <w:t>2015 г</w:t>
        </w:r>
      </w:smartTag>
      <w:r w:rsidRPr="006D4F3A">
        <w:rPr>
          <w:rFonts w:ascii="Times New Roman" w:hAnsi="Times New Roman"/>
          <w:sz w:val="28"/>
          <w:szCs w:val="28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</w:t>
      </w:r>
      <w:r w:rsidRPr="00053437">
        <w:rPr>
          <w:rFonts w:ascii="Times New Roman" w:hAnsi="Times New Roman"/>
          <w:sz w:val="28"/>
          <w:szCs w:val="28"/>
        </w:rPr>
        <w:t>бразования»;</w:t>
      </w:r>
    </w:p>
    <w:p w:rsidR="00A93D6F" w:rsidRPr="00053437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93D6F" w:rsidRDefault="00A93D6F" w:rsidP="000B63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</w:t>
      </w:r>
      <w:smartTag w:uri="urn:schemas-microsoft-com:office:smarttags" w:element="metricconverter">
        <w:smartTagPr>
          <w:attr w:name="ProductID" w:val="2015 г"/>
        </w:smartTagPr>
        <w:r w:rsidRPr="00D9350E">
          <w:rPr>
            <w:rFonts w:ascii="Times New Roman" w:hAnsi="Times New Roman"/>
            <w:sz w:val="28"/>
            <w:szCs w:val="28"/>
          </w:rPr>
          <w:t>2015 г</w:t>
        </w:r>
      </w:smartTag>
      <w:r w:rsidRPr="00D9350E">
        <w:rPr>
          <w:rFonts w:ascii="Times New Roman" w:hAnsi="Times New Roman"/>
          <w:sz w:val="28"/>
          <w:szCs w:val="28"/>
        </w:rPr>
        <w:t>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 xml:space="preserve">ротокол № 3 от 25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.);</w:t>
      </w:r>
    </w:p>
    <w:p w:rsidR="00A93D6F" w:rsidRPr="00D9350E" w:rsidRDefault="00A93D6F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A93D6F" w:rsidRPr="00D9350E" w:rsidRDefault="00A93D6F" w:rsidP="00977AEB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</w:p>
    <w:p w:rsidR="00A93D6F" w:rsidRPr="00D9350E" w:rsidRDefault="00A93D6F" w:rsidP="00977AE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A93D6F" w:rsidRDefault="00A93D6F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Style w:val="FontStyle12"/>
          <w:color w:val="auto"/>
          <w:sz w:val="28"/>
          <w:szCs w:val="28"/>
        </w:rPr>
        <w:t xml:space="preserve"> -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A93D6F" w:rsidRPr="00D9350E" w:rsidRDefault="00A93D6F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>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A93D6F" w:rsidRPr="00D9350E" w:rsidRDefault="00A93D6F" w:rsidP="00977AE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A93D6F" w:rsidRPr="00D9350E" w:rsidRDefault="00A93D6F" w:rsidP="00977A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.2. Срок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A93D6F" w:rsidRDefault="00A93D6F" w:rsidP="00977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ППССЗ в очной форме обучения и присваиваемая квалификация приводятся в таблице</w:t>
      </w:r>
    </w:p>
    <w:p w:rsidR="00A93D6F" w:rsidRDefault="00A93D6F" w:rsidP="00F96D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ППССЗ и присваиваемая квалификация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2"/>
        <w:gridCol w:w="3008"/>
        <w:gridCol w:w="3459"/>
      </w:tblGrid>
      <w:tr w:rsidR="00A93D6F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углубленной подготовки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ППССЗ углубленной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дготовки в очной форме обучения</w:t>
            </w:r>
          </w:p>
        </w:tc>
      </w:tr>
      <w:tr w:rsidR="00A93D6F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A93D6F" w:rsidRPr="009E3EA6" w:rsidTr="00CE1B2F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A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CE1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6F" w:rsidRPr="009E3EA6" w:rsidRDefault="00A93D6F" w:rsidP="009E3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A93D6F" w:rsidRDefault="00A93D6F" w:rsidP="0009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800D9">
        <w:rPr>
          <w:rFonts w:ascii="Times New Roman" w:hAnsi="Times New Roman"/>
          <w:color w:val="000000"/>
          <w:sz w:val="28"/>
          <w:szCs w:val="28"/>
        </w:rPr>
        <w:t>При необходимости срок освоения АОП СПО увеличивается не более чем на 10 месяцев.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ОП СПО 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133A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93D6F" w:rsidRPr="00D9350E" w:rsidTr="00C82233">
        <w:tc>
          <w:tcPr>
            <w:tcW w:w="7488" w:type="dxa"/>
          </w:tcPr>
          <w:p w:rsidR="00A93D6F" w:rsidRPr="00D9350E" w:rsidRDefault="00A93D6F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.4. Особенности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социально-экономическому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математика, информатика, право, обществознание.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A93D6F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A93D6F" w:rsidRPr="00D9350E" w:rsidRDefault="00A93D6F" w:rsidP="004764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A93D6F" w:rsidRPr="00D9350E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Профессиональный цикл состоит из общепрофессиональных дисциплин (ОП) и профессиональных модулей (ПМ) в соответствии с видами деятельности.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 учебная, производственная (по профилю специальности). 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предполагает прохождение обучающимися производственной (преддипломной) практики.</w:t>
      </w:r>
    </w:p>
    <w:p w:rsidR="00A93D6F" w:rsidRPr="00133A88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A88">
        <w:rPr>
          <w:rFonts w:ascii="Times New Roman" w:hAnsi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 Учебная практика проводится в лабораториях колледжа и/или на базе организаций, соответствующего профиля деятельности. Производственная практика проводится в организациях и на предприятиях на основе заключенных договоров. Учебная и производственная практики проводятся в рамках профессиональных модулей концентрированно.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>
        <w:rPr>
          <w:rFonts w:ascii="Times New Roman" w:hAnsi="Times New Roman"/>
          <w:bCs/>
          <w:sz w:val="28"/>
          <w:szCs w:val="28"/>
          <w:lang w:eastAsia="ru-RU"/>
        </w:rPr>
        <w:t>в фирмах и организациях города и области.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итоговой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специальности, предусмотрена в форме экзаменов (квалификационных) по профессиональным модулям соответствующих видов профессиональной деятельности. 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1.3</w:t>
      </w:r>
      <w:r w:rsidRPr="00D9350E">
        <w:rPr>
          <w:rFonts w:ascii="Times New Roman" w:hAnsi="Times New Roman"/>
          <w:b/>
          <w:sz w:val="28"/>
          <w:szCs w:val="28"/>
        </w:rPr>
        <w:t>.5. Требования к поступающим в ОУ на данную ОП СПО – ППССЗ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специальность  </w:t>
      </w:r>
      <w:r>
        <w:rPr>
          <w:rFonts w:ascii="Times New Roman" w:hAnsi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осуществляется на базе основного общего образования на общедоступной основе. Перечень документов для поступления на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– ППССЗ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Выпускники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востребованы в </w:t>
      </w:r>
      <w:r>
        <w:rPr>
          <w:rFonts w:ascii="Times New Roman" w:hAnsi="Times New Roman"/>
          <w:sz w:val="28"/>
          <w:szCs w:val="28"/>
          <w:lang w:eastAsia="ru-RU"/>
        </w:rPr>
        <w:t>организациях различных сфер деятельности, форм собственности города Вологды и области.</w:t>
      </w:r>
      <w:r w:rsidRPr="00D9350E">
        <w:rPr>
          <w:rFonts w:ascii="Times New Roman" w:hAnsi="Times New Roman"/>
          <w:sz w:val="28"/>
          <w:szCs w:val="28"/>
          <w:lang w:eastAsia="ru-RU"/>
        </w:rPr>
        <w:t>.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A93D6F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ОП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>
        <w:rPr>
          <w:rFonts w:ascii="Times New Roman" w:hAnsi="Times New Roman"/>
          <w:sz w:val="28"/>
          <w:szCs w:val="28"/>
          <w:lang w:eastAsia="ru-RU"/>
        </w:rPr>
        <w:t>углубленной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подготовки, может продолжить образование путем освоения основной профессиональной образовательной программы высшего образования по направлению подготовки.</w:t>
      </w:r>
    </w:p>
    <w:p w:rsidR="00A93D6F" w:rsidRDefault="00A93D6F" w:rsidP="00977A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977AEB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A93D6F" w:rsidRDefault="00A93D6F" w:rsidP="0097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D6F" w:rsidRDefault="00A93D6F" w:rsidP="0097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B2F">
        <w:rPr>
          <w:rFonts w:ascii="Times New Roman" w:hAnsi="Times New Roman"/>
          <w:sz w:val="28"/>
          <w:szCs w:val="28"/>
        </w:rPr>
        <w:t>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документы, созданные любым способом документирования;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системы электронного документооборота;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архивные документы;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A93D6F" w:rsidRPr="00CE1B2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Организация документационного обеспечения управления и функционирования организации.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Организация архивной и справочно-информационной работы по документам организации.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B2F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</w:t>
      </w:r>
      <w:r>
        <w:rPr>
          <w:rFonts w:ascii="Times New Roman" w:hAnsi="Times New Roman" w:cs="Times New Roman"/>
          <w:sz w:val="28"/>
          <w:szCs w:val="28"/>
        </w:rPr>
        <w:t>ям рабочих, должностям служащих</w:t>
      </w:r>
      <w:r w:rsidRPr="00CE1B2F">
        <w:rPr>
          <w:rFonts w:ascii="Times New Roman" w:hAnsi="Times New Roman" w:cs="Times New Roman"/>
          <w:sz w:val="28"/>
          <w:szCs w:val="28"/>
        </w:rPr>
        <w:t>.</w:t>
      </w:r>
    </w:p>
    <w:p w:rsidR="00A93D6F" w:rsidRPr="00CE1B2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3.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A93D6F" w:rsidRPr="00D9350E" w:rsidRDefault="00A93D6F" w:rsidP="0097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ППССЗ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A93D6F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3D6F" w:rsidRPr="00300A7A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7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A93D6F" w:rsidRDefault="00A93D6F" w:rsidP="0097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D6F" w:rsidRPr="00D9350E" w:rsidRDefault="00A93D6F" w:rsidP="00977A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A93D6F" w:rsidRPr="00D9350E" w:rsidRDefault="00A93D6F" w:rsidP="00977A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ВПД 1 Организация документационного обеспечения управления и функционирования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1.1. Координировать работу организации (приемной руководителя), вести прием посетителей.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1.2. Осуществлять работу по подготовке и проведению совещаний, деловых встреч, приемов и презентаций.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1.3. Осуществлять подготовку деловых поездок руководителя и других сотрудников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1.4. Организовывать рабочее место секретаря и руководителя.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1.6.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1.7. 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1.8. Осуществлять телефонное обслуживание, принимать и передавать факсы.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1.9. Осуществлять подготовку дел к передаче на архивное хранение.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1.10. 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1.11. Выдавать в соответствии с поступающими запросами архивные копии и документы.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ВПД 2 Организация архивной и справочно-информационной работы по документам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2.1. Участвовать в работе по экспертизе ценности документов в соответствии с действующими законодательными актами и нормативами.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2.2. Вести работу в системах электронного документооборота.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2.3. Разрабатывать и вести классификаторы, табели и иные справочники по документам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2.4. Обеспечивать прием и рациональное размещение документов в архиве (в том числе документов по личному составу).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2.5. Обеспечивать учет и сохранность документов в архиве.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2.6. Организовывать использование архивных документов в научных, справочных и практических целях.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ВПД 3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3.3. Вести работу по созданию справочного аппарата по документам с целью обеспечения удобного и быстрого их поиска.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3.4. Подготавливать данные, необходимые для составления справок на основе сведений, имеющихся в документах архива.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ПК 3.6. Принимать участие в работе по подбору и расстановке кадров службы документационного обеспечения управления и архива организации.</w:t>
            </w:r>
          </w:p>
        </w:tc>
      </w:tr>
      <w:tr w:rsidR="00A93D6F" w:rsidRPr="00856385" w:rsidTr="00E265D9">
        <w:tc>
          <w:tcPr>
            <w:tcW w:w="9854" w:type="dxa"/>
          </w:tcPr>
          <w:p w:rsidR="00A93D6F" w:rsidRPr="00E265D9" w:rsidRDefault="00A93D6F" w:rsidP="00E2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9">
              <w:rPr>
                <w:rFonts w:ascii="Times New Roman" w:hAnsi="Times New Roman" w:cs="Times New Roman"/>
                <w:sz w:val="28"/>
                <w:szCs w:val="28"/>
              </w:rPr>
              <w:t>ВПД 4 Выполнение работ по одной или нескольким профессиям рабочих, должностям служащих.</w:t>
            </w:r>
          </w:p>
        </w:tc>
      </w:tr>
    </w:tbl>
    <w:p w:rsidR="00A93D6F" w:rsidRPr="00300A7A" w:rsidRDefault="00A93D6F" w:rsidP="00F96D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ППССЗ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ППССЗ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Личностные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общеобразовательного цикла ППССЗ должны отражать: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к служению Отечеству, его защите;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Метапредметные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общеобразовательного цикла ППССЗ должны отражать: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D1F">
        <w:rPr>
          <w:rFonts w:ascii="Times New Roman" w:hAnsi="Times New Roman"/>
          <w:i/>
          <w:color w:val="000000"/>
          <w:sz w:val="28"/>
          <w:szCs w:val="28"/>
        </w:rPr>
        <w:t>Предметные результаты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A93D6F" w:rsidRDefault="00A93D6F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A93D6F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ППССЗ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A93D6F" w:rsidRPr="00D9350E" w:rsidRDefault="00A93D6F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F96D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 xml:space="preserve">ения и архивоведение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углубленной </w:t>
      </w:r>
      <w:r w:rsidRPr="00D9350E">
        <w:rPr>
          <w:rFonts w:ascii="Times New Roman" w:hAnsi="Times New Roman"/>
          <w:color w:val="000000"/>
          <w:sz w:val="28"/>
          <w:szCs w:val="28"/>
        </w:rPr>
        <w:t>подготовки определяется учебным планом, разработанным в соответствии с ФГОС СПО и утвержденным директором колледжа.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ППССЗ: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объёмные параметры учебной нагрузки в целом, по годам обучения и по семестрам;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виды учебных занятий;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объёмные показатели подготовки и проведения государственной итоговой аттестации.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50E">
        <w:rPr>
          <w:rFonts w:ascii="Times New Roman" w:hAnsi="Times New Roman"/>
          <w:color w:val="000000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Требования работодателей к профессиональным компетенциям выпускников выявляются в ходе совместных деловых встреч, на основе которых специалисты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A93D6F" w:rsidRPr="00D9350E" w:rsidRDefault="00A93D6F" w:rsidP="00F96D1F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A93D6F" w:rsidRPr="00D9350E" w:rsidRDefault="00A93D6F" w:rsidP="00F96D1F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обязательной аудиторной учебной нагрузки студентов при очной форме обучения составляет 36 академических часов в неделю.</w:t>
      </w:r>
    </w:p>
    <w:p w:rsidR="00A93D6F" w:rsidRPr="00D9350E" w:rsidRDefault="00A93D6F" w:rsidP="00F96D1F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A93D6F" w:rsidRPr="00D9350E" w:rsidRDefault="00A93D6F" w:rsidP="00F96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ППССЗ: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A93D6F" w:rsidRDefault="00A93D6F" w:rsidP="00F96D1F">
      <w:pPr>
        <w:pStyle w:val="Style39"/>
        <w:widowControl/>
        <w:ind w:firstLine="567"/>
        <w:jc w:val="both"/>
        <w:rPr>
          <w:b/>
          <w:sz w:val="28"/>
          <w:szCs w:val="28"/>
        </w:rPr>
      </w:pPr>
    </w:p>
    <w:p w:rsidR="00A93D6F" w:rsidRPr="00D9350E" w:rsidRDefault="00A93D6F" w:rsidP="00F96D1F">
      <w:pPr>
        <w:pStyle w:val="Style39"/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 (Ф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>
        <w:rPr>
          <w:rFonts w:ascii="Times New Roman" w:hAnsi="Times New Roman"/>
          <w:bCs/>
          <w:color w:val="000000"/>
          <w:sz w:val="28"/>
          <w:szCs w:val="28"/>
        </w:rPr>
        <w:t>углубленной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подготовки соответствует 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социально-экономический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профиль.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A93D6F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дисциплин общеобразовательного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716"/>
        <w:gridCol w:w="3016"/>
      </w:tblGrid>
      <w:tr w:rsidR="00A93D6F" w:rsidRPr="00D9350E" w:rsidTr="00E265D9">
        <w:tc>
          <w:tcPr>
            <w:tcW w:w="1896" w:type="dxa"/>
            <w:vAlign w:val="center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4716" w:type="dxa"/>
            <w:vAlign w:val="center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16" w:type="dxa"/>
            <w:vAlign w:val="center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3016" w:type="dxa"/>
            <w:vAlign w:val="center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учебные дисциплины</w:t>
            </w:r>
          </w:p>
        </w:tc>
        <w:tc>
          <w:tcPr>
            <w:tcW w:w="3016" w:type="dxa"/>
            <w:vAlign w:val="center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ОУДБ.01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язык. </w:t>
            </w:r>
          </w:p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язык*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ОУДБ.02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Литература. </w:t>
            </w:r>
          </w:p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Родная литература*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ОУДБ.03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ОУДП.04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ОУДБ.05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ОУДБ.06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ОУДБ.07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ОУДБ.08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sz w:val="28"/>
                <w:szCs w:val="28"/>
              </w:rPr>
              <w:t>Индивидуальный  учебный проект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ОУДП.09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ОУДП.10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ОУДБ.11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УД.00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65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учебные дисциплины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D6F" w:rsidRPr="00D9350E" w:rsidTr="00E265D9">
        <w:tc>
          <w:tcPr>
            <w:tcW w:w="189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УД.01</w:t>
            </w:r>
          </w:p>
        </w:tc>
        <w:tc>
          <w:tcPr>
            <w:tcW w:w="4716" w:type="dxa"/>
          </w:tcPr>
          <w:p w:rsidR="00A93D6F" w:rsidRPr="00E265D9" w:rsidRDefault="00A93D6F" w:rsidP="00E26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sz w:val="28"/>
                <w:szCs w:val="28"/>
              </w:rPr>
              <w:t xml:space="preserve">Естествознание /Химия </w:t>
            </w:r>
          </w:p>
        </w:tc>
        <w:tc>
          <w:tcPr>
            <w:tcW w:w="3016" w:type="dxa"/>
          </w:tcPr>
          <w:p w:rsidR="00A93D6F" w:rsidRPr="00E265D9" w:rsidRDefault="00A93D6F" w:rsidP="00E26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D9"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ОО</w:t>
            </w:r>
          </w:p>
        </w:tc>
      </w:tr>
    </w:tbl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3D6F" w:rsidRPr="00D43C48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43C4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* </w:t>
      </w:r>
      <w:r w:rsidRPr="00D43C48">
        <w:rPr>
          <w:rFonts w:ascii="Times New Roman" w:hAnsi="Times New Roman"/>
          <w:i/>
          <w:color w:val="000000"/>
          <w:sz w:val="28"/>
          <w:szCs w:val="28"/>
        </w:rPr>
        <w:t>Русский язык. Родной язык  и Литература. Родная литература – реализуются как интегрированные курсы, включающие в себя по две предметные области «Русский язык и литература» и «Родной язык и родная литература»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ППССЗ состоят из дисциплин, профессиональный учебный цикл - из общепрофессиональных дисциплин и профессиональных модулей в соответствии с основными видами деятельности.</w:t>
      </w:r>
    </w:p>
    <w:p w:rsidR="00A93D6F" w:rsidRPr="00D9350E" w:rsidRDefault="00A93D6F" w:rsidP="00F96D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7960"/>
      </w:tblGrid>
      <w:tr w:rsidR="00A93D6F" w:rsidRPr="00D9350E" w:rsidTr="004F0C55">
        <w:trPr>
          <w:trHeight w:val="1260"/>
        </w:trPr>
        <w:tc>
          <w:tcPr>
            <w:tcW w:w="1940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A93D6F" w:rsidRPr="00D9350E" w:rsidRDefault="00A93D6F" w:rsidP="00D9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учебным планом</w:t>
            </w:r>
          </w:p>
        </w:tc>
        <w:tc>
          <w:tcPr>
            <w:tcW w:w="7960" w:type="dxa"/>
            <w:vAlign w:val="center"/>
          </w:tcPr>
          <w:p w:rsidR="00A93D6F" w:rsidRPr="00D9350E" w:rsidRDefault="00A93D6F" w:rsidP="00D9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дисциплин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7960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00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00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center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960" w:type="dxa"/>
          </w:tcPr>
          <w:p w:rsidR="00A93D6F" w:rsidRPr="005676DA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ЕН.03</w:t>
            </w:r>
          </w:p>
        </w:tc>
        <w:tc>
          <w:tcPr>
            <w:tcW w:w="7960" w:type="dxa"/>
          </w:tcPr>
          <w:p w:rsidR="00A93D6F" w:rsidRPr="005676DA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ЕН.04</w:t>
            </w:r>
          </w:p>
        </w:tc>
        <w:tc>
          <w:tcPr>
            <w:tcW w:w="7960" w:type="dxa"/>
          </w:tcPr>
          <w:p w:rsidR="00A93D6F" w:rsidRPr="005676DA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системы в профессиональной деятельности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7960" w:type="dxa"/>
            <w:vAlign w:val="bottom"/>
          </w:tcPr>
          <w:p w:rsidR="00A93D6F" w:rsidRPr="005676DA" w:rsidRDefault="00A93D6F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A93D6F" w:rsidRPr="00D9350E" w:rsidTr="004F0C55">
        <w:trPr>
          <w:trHeight w:val="248"/>
        </w:trPr>
        <w:tc>
          <w:tcPr>
            <w:tcW w:w="194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7960" w:type="dxa"/>
            <w:vAlign w:val="bottom"/>
          </w:tcPr>
          <w:p w:rsidR="00A93D6F" w:rsidRPr="00D9350E" w:rsidRDefault="00A93D6F" w:rsidP="00D93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теория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и муниципальная служба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 (профессиональный)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Компьютерная обработка документов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качеством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Основы исследовательской деятельности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ОП.12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регулирование экономики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ОП.13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государственного управления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ОП.14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государственных учреждений России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ОП.15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ОП.16</w:t>
            </w:r>
          </w:p>
        </w:tc>
        <w:tc>
          <w:tcPr>
            <w:tcW w:w="7960" w:type="dxa"/>
            <w:vAlign w:val="bottom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предпринимательской деятельности и планирование профессиональной карьеры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ОП.17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средства управления в офисе</w:t>
            </w:r>
          </w:p>
        </w:tc>
      </w:tr>
      <w:tr w:rsidR="00A93D6F" w:rsidRPr="00D9350E" w:rsidTr="00001DFE">
        <w:trPr>
          <w:trHeight w:val="248"/>
        </w:trPr>
        <w:tc>
          <w:tcPr>
            <w:tcW w:w="1940" w:type="dxa"/>
          </w:tcPr>
          <w:p w:rsidR="00A93D6F" w:rsidRPr="005676DA" w:rsidRDefault="00A93D6F" w:rsidP="0056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ОП.18</w:t>
            </w:r>
          </w:p>
        </w:tc>
        <w:tc>
          <w:tcPr>
            <w:tcW w:w="7960" w:type="dxa"/>
          </w:tcPr>
          <w:p w:rsidR="00A93D6F" w:rsidRPr="005676DA" w:rsidRDefault="00A93D6F" w:rsidP="005676D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6DA">
              <w:rPr>
                <w:rFonts w:ascii="Times New Roman" w:hAnsi="Times New Roman"/>
                <w:sz w:val="28"/>
                <w:szCs w:val="28"/>
                <w:lang w:eastAsia="ru-RU"/>
              </w:rPr>
              <w:t>Кадровое делопроизводство</w:t>
            </w:r>
          </w:p>
        </w:tc>
      </w:tr>
    </w:tbl>
    <w:p w:rsidR="00A93D6F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к утверждению предметной цикловой комиссией, утверждены заместителем директора.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по профилю специальности.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12"/>
      </w:tblGrid>
      <w:tr w:rsidR="00A93D6F" w:rsidRPr="00D9350E" w:rsidTr="00B46FF9">
        <w:tc>
          <w:tcPr>
            <w:tcW w:w="2628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7512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профессиональных модулей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ПМ.00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регулирование управленческой деятельности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МДК.01.03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секретарского обслуживания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архивной и справочно-информационной работы по документам организации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нормативно-правовые основы архивного дела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Государственные, муниципальные архивы и архивы организации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и практика архивоведения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МДК.02.04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сохранности документов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 в документационном обеспечении управления и архивном деле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МДК.03.02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рационализации документационного обеспечения управления и архивного дела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МДК.03.03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электронными документами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ПП.03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 (21299 Делопроизводитель)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делопроизводства. Хранение документов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УП.04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A93D6F" w:rsidRPr="00BB2E21" w:rsidTr="00B46FF9">
        <w:tc>
          <w:tcPr>
            <w:tcW w:w="2628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ПП.04</w:t>
            </w:r>
          </w:p>
        </w:tc>
        <w:tc>
          <w:tcPr>
            <w:tcW w:w="7512" w:type="dxa"/>
          </w:tcPr>
          <w:p w:rsidR="00A93D6F" w:rsidRPr="00BB2E21" w:rsidRDefault="00A93D6F" w:rsidP="0000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E21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</w:tbl>
    <w:p w:rsidR="00A93D6F" w:rsidRPr="00BB2E21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учебных планов;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согласование программ производственной практики и государственной итоговой аттестации;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участие в государственной итоговой аттестации обучающихся; </w:t>
      </w:r>
    </w:p>
    <w:p w:rsidR="00A93D6F" w:rsidRPr="00D9350E" w:rsidRDefault="00A93D6F" w:rsidP="001320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участие в составе членов жюри конкурсов профессионального мастерства.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13205F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A93D6F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956"/>
      </w:tblGrid>
      <w:tr w:rsidR="00A93D6F" w:rsidRPr="00D9350E" w:rsidTr="00FB2C51">
        <w:tc>
          <w:tcPr>
            <w:tcW w:w="2897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A93D6F" w:rsidRPr="00D9350E" w:rsidRDefault="00A93D6F" w:rsidP="00D4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Электронное обучение</w:t>
            </w:r>
          </w:p>
        </w:tc>
        <w:tc>
          <w:tcPr>
            <w:tcW w:w="6956" w:type="dxa"/>
            <w:vMerge w:val="restart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  <w:tr w:rsidR="00A93D6F" w:rsidRPr="00D9350E" w:rsidTr="00FB2C51">
        <w:tc>
          <w:tcPr>
            <w:tcW w:w="2897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  <w:vMerge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D6F" w:rsidRDefault="00A93D6F" w:rsidP="001320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D6F" w:rsidRPr="00D9350E" w:rsidRDefault="00A93D6F" w:rsidP="001320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5. Ресурсное обеспечение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A93D6F" w:rsidRDefault="00A93D6F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 xml:space="preserve">5.1. Кадровое обеспечение образовательного процесса по </w:t>
      </w:r>
      <w:r>
        <w:rPr>
          <w:b/>
          <w:sz w:val="28"/>
          <w:szCs w:val="28"/>
        </w:rPr>
        <w:t>А</w:t>
      </w:r>
      <w:r w:rsidRPr="00D9350E">
        <w:rPr>
          <w:b/>
          <w:sz w:val="28"/>
          <w:szCs w:val="28"/>
        </w:rPr>
        <w:t>ОП СПО – ППССЗ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по профессиональному циклу имеет опыт практической работы. Состав преподавателей, осуществляющих подготовку обучающихся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</w:rPr>
        <w:t>(приложение).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Доля преподавателей прошедших повышение квалификации за последние 3 года  составляет 100%.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–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A93D6F" w:rsidRPr="00D9350E" w:rsidRDefault="00A93D6F" w:rsidP="0013205F">
      <w:pPr>
        <w:pStyle w:val="Style34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A93D6F" w:rsidRPr="00D9350E" w:rsidRDefault="00A93D6F" w:rsidP="0013205F">
      <w:pPr>
        <w:pStyle w:val="Style34"/>
        <w:widowControl/>
        <w:spacing w:line="240" w:lineRule="auto"/>
        <w:ind w:left="567" w:firstLine="0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A93D6F" w:rsidRPr="00D9350E" w:rsidRDefault="00A93D6F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A93D6F" w:rsidRPr="00D9350E" w:rsidRDefault="00A93D6F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A93D6F" w:rsidRPr="00D9350E" w:rsidRDefault="00A93D6F" w:rsidP="0013205F">
      <w:pPr>
        <w:pStyle w:val="Style34"/>
        <w:widowControl/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-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sz w:val="28"/>
          <w:szCs w:val="28"/>
        </w:rPr>
        <w:t xml:space="preserve"> 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A93D6F" w:rsidRPr="00D9350E" w:rsidRDefault="00A93D6F" w:rsidP="0013205F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93D6F" w:rsidRPr="00D9350E" w:rsidRDefault="00A93D6F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A93D6F" w:rsidRPr="00D9350E" w:rsidRDefault="00A93D6F" w:rsidP="0013205F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A93D6F" w:rsidRPr="00D9350E" w:rsidRDefault="00A93D6F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</w:t>
      </w:r>
      <w:r>
        <w:rPr>
          <w:color w:val="auto"/>
          <w:sz w:val="28"/>
          <w:szCs w:val="28"/>
        </w:rPr>
        <w:t>имеющих</w:t>
      </w:r>
      <w:r w:rsidRPr="00D9350E">
        <w:rPr>
          <w:color w:val="auto"/>
          <w:sz w:val="28"/>
          <w:szCs w:val="28"/>
        </w:rPr>
        <w:t xml:space="preserve"> наименовани</w:t>
      </w:r>
      <w:r>
        <w:rPr>
          <w:color w:val="auto"/>
          <w:sz w:val="28"/>
          <w:szCs w:val="28"/>
        </w:rPr>
        <w:t>я</w:t>
      </w:r>
      <w:r w:rsidRPr="00D9350E">
        <w:rPr>
          <w:color w:val="auto"/>
          <w:sz w:val="28"/>
          <w:szCs w:val="28"/>
        </w:rPr>
        <w:t xml:space="preserve"> пер</w:t>
      </w:r>
      <w:r>
        <w:rPr>
          <w:color w:val="auto"/>
          <w:sz w:val="28"/>
          <w:szCs w:val="28"/>
        </w:rPr>
        <w:t>иодических изданий – журналов.</w:t>
      </w:r>
    </w:p>
    <w:p w:rsidR="00A93D6F" w:rsidRPr="00D9350E" w:rsidRDefault="00A93D6F" w:rsidP="001320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A93D6F" w:rsidRPr="00D9350E" w:rsidRDefault="00A93D6F" w:rsidP="0013205F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3. Материально-техническое обеспечение образовательного процесса</w:t>
      </w:r>
    </w:p>
    <w:p w:rsidR="00A93D6F" w:rsidRPr="00D9350E" w:rsidRDefault="00A93D6F" w:rsidP="0013205F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</w:t>
      </w:r>
      <w:r>
        <w:rPr>
          <w:rStyle w:val="FontStyle76"/>
          <w:color w:val="auto"/>
          <w:sz w:val="28"/>
          <w:szCs w:val="28"/>
        </w:rPr>
        <w:t>А</w:t>
      </w:r>
      <w:r w:rsidRPr="00D9350E">
        <w:rPr>
          <w:rStyle w:val="FontStyle76"/>
          <w:color w:val="auto"/>
          <w:sz w:val="28"/>
          <w:szCs w:val="28"/>
        </w:rPr>
        <w:t xml:space="preserve">ОП СПО - ППССЗ по специальности </w:t>
      </w:r>
      <w:r w:rsidRPr="00FB2C51">
        <w:rPr>
          <w:sz w:val="28"/>
          <w:szCs w:val="28"/>
        </w:rPr>
        <w:t>46.02.01 Документационное обеспечение управл</w:t>
      </w:r>
      <w:r>
        <w:rPr>
          <w:sz w:val="28"/>
          <w:szCs w:val="28"/>
        </w:rPr>
        <w:t>ения и архивоведение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учебным планом. Состояние материально – технической  базы соответствует действующим санитарным и противопожарным нормам.</w:t>
      </w:r>
    </w:p>
    <w:p w:rsidR="00A93D6F" w:rsidRPr="00D9350E" w:rsidRDefault="00A93D6F" w:rsidP="00132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 специалистов:</w:t>
      </w:r>
    </w:p>
    <w:p w:rsidR="00A93D6F" w:rsidRPr="00D9350E" w:rsidRDefault="00A93D6F" w:rsidP="00132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2"/>
        <w:gridCol w:w="1642"/>
      </w:tblGrid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Кабинеты: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социально-экономических дисциплин;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43, 59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иностранного языка;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50, 58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математики и информатики;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экологических основ природопользования;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экономики организации и управления персоналом;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менеджмента;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правового обеспечения профессиональной деятельности;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государственной и муниципальной службы;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документационного обеспечения управления;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архивоведения;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профессиональной этики и психологии делового общения;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безопасности жизнедеятельности;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методический.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Лаборатории: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информатики и компьютерной обработки документов;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технических средств управления;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систем электронного документооборота;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документоведения;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учебная канцелярия (служба документационного обеспечения управления).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E2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комплекс: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спортивный зал; </w:t>
            </w:r>
          </w:p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открытый стадион широкого профиля с элементами полосы препятствий;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стрелковый тир (в любой модификации, включая электронный) или место для стрельбы.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Залы: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библиотека, читальный зал с выходом в сеть Интернет;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93D6F" w:rsidRPr="00BB2E21" w:rsidTr="00001DFE">
        <w:tc>
          <w:tcPr>
            <w:tcW w:w="8472" w:type="dxa"/>
          </w:tcPr>
          <w:p w:rsidR="00A93D6F" w:rsidRPr="00BB2E21" w:rsidRDefault="00A93D6F" w:rsidP="00BB2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 xml:space="preserve">актовый зал. </w:t>
            </w:r>
          </w:p>
        </w:tc>
        <w:tc>
          <w:tcPr>
            <w:tcW w:w="1665" w:type="dxa"/>
          </w:tcPr>
          <w:p w:rsidR="00A93D6F" w:rsidRPr="00BB2E21" w:rsidRDefault="00A93D6F" w:rsidP="00BB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E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A93D6F" w:rsidRPr="00D9350E" w:rsidRDefault="00A93D6F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3D6F" w:rsidRPr="00D9350E" w:rsidRDefault="00A93D6F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(лаборатории, мастерской).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Отработка первичных профессиональных навыков проводится в лабораториях колледжа.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A93D6F" w:rsidRPr="00D9350E" w:rsidRDefault="00A93D6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A93D6F" w:rsidRPr="00D9350E" w:rsidRDefault="00A93D6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93D6F" w:rsidRPr="00D9350E" w:rsidRDefault="00A93D6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A93D6F" w:rsidRDefault="00A93D6F" w:rsidP="00D9350E">
      <w:pPr>
        <w:pStyle w:val="BodyText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A93D6F" w:rsidRPr="00D9350E" w:rsidRDefault="00A93D6F" w:rsidP="003225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Основными базами производственных практик студентов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 предприятия г. Вологды и области.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(по профилю специальности)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A93D6F" w:rsidRPr="00D9350E" w:rsidRDefault="00A93D6F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132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Нормативно-методическое обеспечение системы оценки качества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ОП СПО - ППССЗ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1320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 включает текущий контроль успеваемости, промежуточную и государственную итоговую аттестацию обучающихся.</w:t>
      </w:r>
    </w:p>
    <w:p w:rsidR="00A93D6F" w:rsidRPr="00D9350E" w:rsidRDefault="00A93D6F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Комплекты оценочных средств (КОС)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93D6F" w:rsidRPr="00D9350E" w:rsidRDefault="00A93D6F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A93D6F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A93D6F" w:rsidRPr="00D9350E" w:rsidRDefault="00A93D6F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A93D6F" w:rsidRPr="00D9350E" w:rsidRDefault="00A93D6F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A93D6F" w:rsidRPr="00D9350E" w:rsidRDefault="00A93D6F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A93D6F" w:rsidRPr="00D9350E" w:rsidRDefault="00A93D6F" w:rsidP="0013205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A93D6F" w:rsidRPr="00D9350E" w:rsidRDefault="00A93D6F" w:rsidP="0013205F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A93D6F" w:rsidRPr="00D9350E" w:rsidRDefault="00A93D6F" w:rsidP="0013205F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A93D6F" w:rsidRPr="00D9350E" w:rsidRDefault="00A93D6F" w:rsidP="006C57E9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A93D6F" w:rsidRPr="00D9350E" w:rsidRDefault="00A93D6F" w:rsidP="006C57E9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A93D6F" w:rsidRPr="00D9350E" w:rsidRDefault="00A93D6F" w:rsidP="006C57E9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 проведения промежуточной аттестации отражены в учебном плане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93D6F" w:rsidRPr="00D9350E" w:rsidRDefault="00A93D6F" w:rsidP="00132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 оценки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в колледже: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93D6F" w:rsidRPr="00D9350E" w:rsidRDefault="00A93D6F" w:rsidP="006C57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D9350E">
          <w:rPr>
            <w:b w:val="0"/>
            <w:sz w:val="28"/>
            <w:szCs w:val="28"/>
          </w:rPr>
          <w:t>2013 г</w:t>
        </w:r>
      </w:smartTag>
      <w:r w:rsidRPr="00D9350E">
        <w:rPr>
          <w:b w:val="0"/>
          <w:sz w:val="28"/>
          <w:szCs w:val="28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sz w:val="28"/>
          <w:szCs w:val="28"/>
          <w:lang w:eastAsia="ru-RU"/>
        </w:rPr>
        <w:t>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350E">
        <w:rPr>
          <w:rFonts w:ascii="Times New Roman" w:hAnsi="Times New Roman"/>
          <w:sz w:val="28"/>
          <w:szCs w:val="28"/>
          <w:lang w:eastAsia="ru-RU"/>
        </w:rPr>
        <w:t>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A93D6F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Для аттестации студентов на соответствие их персональных достижений поэтапным требованиям ОП СПО – ППССЗ 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(текущий контроль успеваемости и промежуточная аттестация) созданы фонды оценочных средств, позволяющие оценить знания, умения практический опыт и освоенные компетенции. Фонды оценочных средств разработаны на основе Положения о формировании фонда оценочных средств (ФОС)по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 включают комплекты оценочных средств и контрольно-измерительные материалы по дисциплинам и профессиональным модулям, которые содержатся в учебно-методических комплексах преподавателей.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A93D6F" w:rsidRPr="00D9350E" w:rsidRDefault="00A93D6F" w:rsidP="001320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A93D6F" w:rsidRPr="00D9350E" w:rsidTr="00FB2C51">
        <w:tc>
          <w:tcPr>
            <w:tcW w:w="3284" w:type="dxa"/>
            <w:vMerge w:val="restart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A93D6F" w:rsidRPr="00D9350E" w:rsidTr="00FB2C51">
        <w:tc>
          <w:tcPr>
            <w:tcW w:w="3284" w:type="dxa"/>
            <w:vMerge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A93D6F" w:rsidRPr="00D9350E" w:rsidTr="00FB2C51"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93D6F" w:rsidRPr="00D9350E" w:rsidTr="00FB2C51"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A93D6F" w:rsidRPr="00D9350E" w:rsidTr="00FB2C51"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A93D6F" w:rsidRPr="00D9350E" w:rsidTr="00FB2C51"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A93D6F" w:rsidRPr="00D9350E" w:rsidRDefault="00A93D6F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Pr="00FB2C51">
        <w:rPr>
          <w:rFonts w:ascii="Times New Roman" w:hAnsi="Times New Roman"/>
          <w:sz w:val="28"/>
          <w:szCs w:val="28"/>
        </w:rPr>
        <w:t>46.02.01 Документационное обеспечение управл</w:t>
      </w:r>
      <w:r>
        <w:rPr>
          <w:rFonts w:ascii="Times New Roman" w:hAnsi="Times New Roman"/>
          <w:sz w:val="28"/>
          <w:szCs w:val="28"/>
        </w:rPr>
        <w:t>ения и архивоведение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работы). Тематика выпускной квалификационной работы соответствует  содержанию одного или нескольких профессиональных модулей. Время, отводимое на проведение ГИА, отражено в учебном плане, согласно требований ФГОС.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A93D6F" w:rsidRDefault="00A93D6F" w:rsidP="006C57E9">
      <w:pPr>
        <w:spacing w:after="0" w:line="240" w:lineRule="auto"/>
        <w:ind w:firstLine="567"/>
        <w:rPr>
          <w:rFonts w:ascii="Times New Roman" w:hAnsi="Times New Roman"/>
          <w:b/>
          <w:color w:val="7030A0"/>
          <w:sz w:val="28"/>
          <w:szCs w:val="28"/>
        </w:rPr>
      </w:pP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A93D6F" w:rsidRPr="00D9350E" w:rsidRDefault="00A93D6F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A93D6F" w:rsidRPr="00D9350E" w:rsidRDefault="00A93D6F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разработка и реализация социальных проектов, мероприятий и акций;</w:t>
      </w:r>
    </w:p>
    <w:p w:rsidR="00A93D6F" w:rsidRPr="00D9350E" w:rsidRDefault="00A93D6F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A93D6F" w:rsidRPr="00D9350E" w:rsidRDefault="00A93D6F" w:rsidP="006C57E9">
      <w:pPr>
        <w:tabs>
          <w:tab w:val="left" w:pos="567"/>
          <w:tab w:val="left" w:pos="694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проведение занятий в школах города по вопросам безопасного поведения на воде.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A93D6F" w:rsidRPr="00D9350E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</w:t>
      </w:r>
      <w:smartTag w:uri="urn:schemas-microsoft-com:office:smarttags" w:element="metricconverter">
        <w:smartTagPr>
          <w:attr w:name="ProductID" w:val="1 г"/>
        </w:smartTagPr>
        <w:r w:rsidRPr="00D9350E">
          <w:rPr>
            <w:rFonts w:ascii="Times New Roman" w:hAnsi="Times New Roman"/>
            <w:sz w:val="28"/>
            <w:szCs w:val="28"/>
            <w:lang w:eastAsia="ru-RU"/>
          </w:rPr>
          <w:t>1 г</w:t>
        </w:r>
      </w:smartTag>
      <w:r w:rsidRPr="00D9350E">
        <w:rPr>
          <w:rFonts w:ascii="Times New Roman" w:hAnsi="Times New Roman"/>
          <w:sz w:val="28"/>
          <w:szCs w:val="28"/>
          <w:lang w:eastAsia="ru-RU"/>
        </w:rPr>
        <w:t>. Вологда, БУ СО ВО «Территориальный центр социальной помощи семье и детям г. Вологда»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A93D6F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условий профессиональной подготовки по адаптированным образовательным программам является </w:t>
      </w:r>
      <w:r>
        <w:rPr>
          <w:rFonts w:ascii="Times New Roman" w:hAnsi="Times New Roman"/>
          <w:b/>
          <w:i/>
          <w:sz w:val="28"/>
          <w:szCs w:val="28"/>
        </w:rPr>
        <w:t>осуществление комплексного сопровождения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в соответствии с рекомендациями учреждений медико-социальной экспертизы или психолого-медико-педагогической комиссии. </w:t>
      </w: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 формированию необходимых компетенций.</w:t>
      </w: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носит непрерывный и комплексный характер:</w:t>
      </w: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Организационно-педагогическое сопровождение направлено на контроль учебы обучающегося с ОВЗ и инвалидностью в соответствии с графиком учебного процесса в условиях инклюзивного обучения.</w:t>
      </w:r>
    </w:p>
    <w:p w:rsidR="00A93D6F" w:rsidRDefault="00A93D6F" w:rsidP="006C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A93D6F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A93D6F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медицинско-оздоровительное</w:t>
      </w:r>
      <w:r>
        <w:rPr>
          <w:rFonts w:ascii="Times New Roman" w:hAnsi="Times New Roman"/>
          <w:sz w:val="28"/>
          <w:szCs w:val="28"/>
        </w:rPr>
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A93D6F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социальное сопровождение</w:t>
      </w:r>
      <w:r>
        <w:rPr>
          <w:rFonts w:ascii="Times New Roman" w:hAnsi="Times New Roman"/>
          <w:sz w:val="28"/>
          <w:szCs w:val="28"/>
        </w:rPr>
        <w:t xml:space="preserve"> решает широкий спектр вопросов социального характера, от которых зависит успешная учеба инвалидов и лиц с ОВЗ В Колледже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 и др.).</w:t>
      </w:r>
    </w:p>
    <w:p w:rsidR="00A93D6F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компонент образовательного процесса предусматривает включение инвалидов и обучающихся с ОВЗ в работу творческих коллективов, общественных организаций, в спортивные и творческие мероприятия.</w:t>
      </w:r>
    </w:p>
    <w:p w:rsidR="00A93D6F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подготовки конкурентоспособного работника, формирования опыта творческой деятельности обучающихся, создания оптимальных условий для самореализации личности, её профессиональной и социальной адаптации, повышения уровня профессионального мастерства студенты Колледжа, имеющие инвалидность и ОВЗ, принимают активное участие в конкурсах профессионального мастерства на различных уровнях, в том числе и в к конкурсах профессионального мастерства среди людей с инвалидностью «Абилимпикс». По результатам участия в различных мероприятиях формируется портфолио студента, необходимое для трудоустройства.</w:t>
      </w:r>
    </w:p>
    <w:p w:rsidR="00A93D6F" w:rsidRPr="00D9350E" w:rsidRDefault="00A93D6F" w:rsidP="006C57E9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Документом</w:t>
      </w:r>
      <w:r>
        <w:rPr>
          <w:rFonts w:ascii="Times New Roman" w:hAnsi="Times New Roman"/>
          <w:sz w:val="28"/>
          <w:szCs w:val="28"/>
        </w:rPr>
        <w:t>,</w:t>
      </w:r>
      <w:r w:rsidRPr="00D9350E">
        <w:rPr>
          <w:rFonts w:ascii="Times New Roman" w:hAnsi="Times New Roman"/>
          <w:sz w:val="28"/>
          <w:szCs w:val="28"/>
        </w:rPr>
        <w:t xml:space="preserve">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специальности (профессии).</w:t>
      </w:r>
    </w:p>
    <w:p w:rsidR="00A93D6F" w:rsidRPr="00D9350E" w:rsidRDefault="00A93D6F" w:rsidP="006C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sectPr w:rsidR="00A93D6F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96AAC"/>
    <w:multiLevelType w:val="hybridMultilevel"/>
    <w:tmpl w:val="FBE402B2"/>
    <w:lvl w:ilvl="0" w:tplc="380A4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6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4"/>
  </w:num>
  <w:num w:numId="7">
    <w:abstractNumId w:val="6"/>
  </w:num>
  <w:num w:numId="8">
    <w:abstractNumId w:val="18"/>
  </w:num>
  <w:num w:numId="9">
    <w:abstractNumId w:val="14"/>
  </w:num>
  <w:num w:numId="10">
    <w:abstractNumId w:val="29"/>
  </w:num>
  <w:num w:numId="11">
    <w:abstractNumId w:val="25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3"/>
  </w:num>
  <w:num w:numId="20">
    <w:abstractNumId w:val="26"/>
  </w:num>
  <w:num w:numId="21">
    <w:abstractNumId w:val="10"/>
  </w:num>
  <w:num w:numId="22">
    <w:abstractNumId w:val="5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12"/>
  </w:num>
  <w:num w:numId="28">
    <w:abstractNumId w:val="30"/>
  </w:num>
  <w:num w:numId="29">
    <w:abstractNumId w:val="7"/>
  </w:num>
  <w:num w:numId="30">
    <w:abstractNumId w:val="3"/>
  </w:num>
  <w:num w:numId="31">
    <w:abstractNumId w:val="13"/>
  </w:num>
  <w:num w:numId="32">
    <w:abstractNumId w:val="32"/>
  </w:num>
  <w:num w:numId="33">
    <w:abstractNumId w:val="1"/>
  </w:num>
  <w:num w:numId="34">
    <w:abstractNumId w:val="33"/>
  </w:num>
  <w:num w:numId="35">
    <w:abstractNumId w:val="16"/>
  </w:num>
  <w:num w:numId="36">
    <w:abstractNumId w:val="3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1DFE"/>
    <w:rsid w:val="000036AC"/>
    <w:rsid w:val="00003D23"/>
    <w:rsid w:val="000311B8"/>
    <w:rsid w:val="00042F75"/>
    <w:rsid w:val="00045289"/>
    <w:rsid w:val="00053437"/>
    <w:rsid w:val="00057BD3"/>
    <w:rsid w:val="00073688"/>
    <w:rsid w:val="00090E8D"/>
    <w:rsid w:val="0009512A"/>
    <w:rsid w:val="000972C7"/>
    <w:rsid w:val="00097653"/>
    <w:rsid w:val="000A4532"/>
    <w:rsid w:val="000A7507"/>
    <w:rsid w:val="000B3040"/>
    <w:rsid w:val="000B6372"/>
    <w:rsid w:val="000B720E"/>
    <w:rsid w:val="000C434A"/>
    <w:rsid w:val="000D0D07"/>
    <w:rsid w:val="000F05EF"/>
    <w:rsid w:val="00101137"/>
    <w:rsid w:val="00107529"/>
    <w:rsid w:val="00112AA3"/>
    <w:rsid w:val="0012382B"/>
    <w:rsid w:val="001255BF"/>
    <w:rsid w:val="001278A5"/>
    <w:rsid w:val="0013205F"/>
    <w:rsid w:val="00133A88"/>
    <w:rsid w:val="00151FEF"/>
    <w:rsid w:val="00155275"/>
    <w:rsid w:val="00160B58"/>
    <w:rsid w:val="001619AD"/>
    <w:rsid w:val="0016314D"/>
    <w:rsid w:val="00166252"/>
    <w:rsid w:val="00166D1B"/>
    <w:rsid w:val="00184E7D"/>
    <w:rsid w:val="0018713B"/>
    <w:rsid w:val="00187876"/>
    <w:rsid w:val="00187A1C"/>
    <w:rsid w:val="001A1EEB"/>
    <w:rsid w:val="001B18D4"/>
    <w:rsid w:val="001C2B43"/>
    <w:rsid w:val="001D619C"/>
    <w:rsid w:val="001E66B6"/>
    <w:rsid w:val="001E7353"/>
    <w:rsid w:val="001F15EF"/>
    <w:rsid w:val="001F2CFF"/>
    <w:rsid w:val="00205D7A"/>
    <w:rsid w:val="0021164F"/>
    <w:rsid w:val="00214E8D"/>
    <w:rsid w:val="0022492D"/>
    <w:rsid w:val="00232EF4"/>
    <w:rsid w:val="00236B23"/>
    <w:rsid w:val="00237B6F"/>
    <w:rsid w:val="00241FCF"/>
    <w:rsid w:val="0024545E"/>
    <w:rsid w:val="00245898"/>
    <w:rsid w:val="00260A3D"/>
    <w:rsid w:val="00261D11"/>
    <w:rsid w:val="00264155"/>
    <w:rsid w:val="00272DCD"/>
    <w:rsid w:val="00276D3F"/>
    <w:rsid w:val="0029688A"/>
    <w:rsid w:val="002B7304"/>
    <w:rsid w:val="002C04F0"/>
    <w:rsid w:val="002D17E5"/>
    <w:rsid w:val="002D74B0"/>
    <w:rsid w:val="002E069A"/>
    <w:rsid w:val="002E7B21"/>
    <w:rsid w:val="00300A7A"/>
    <w:rsid w:val="00306326"/>
    <w:rsid w:val="0031089F"/>
    <w:rsid w:val="003225C6"/>
    <w:rsid w:val="00336749"/>
    <w:rsid w:val="003548C7"/>
    <w:rsid w:val="0035589A"/>
    <w:rsid w:val="00356A28"/>
    <w:rsid w:val="003603BF"/>
    <w:rsid w:val="003604C7"/>
    <w:rsid w:val="0036270B"/>
    <w:rsid w:val="00372B2C"/>
    <w:rsid w:val="00380548"/>
    <w:rsid w:val="0038494F"/>
    <w:rsid w:val="0038604F"/>
    <w:rsid w:val="00386D34"/>
    <w:rsid w:val="00386F3B"/>
    <w:rsid w:val="003873A4"/>
    <w:rsid w:val="003906D0"/>
    <w:rsid w:val="003964D8"/>
    <w:rsid w:val="003A6A2A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22756"/>
    <w:rsid w:val="00422B91"/>
    <w:rsid w:val="00425DDC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76407"/>
    <w:rsid w:val="0048630A"/>
    <w:rsid w:val="00487DD3"/>
    <w:rsid w:val="004930F0"/>
    <w:rsid w:val="004A0C34"/>
    <w:rsid w:val="004A1171"/>
    <w:rsid w:val="004A12D6"/>
    <w:rsid w:val="004B0C9E"/>
    <w:rsid w:val="004C54A1"/>
    <w:rsid w:val="004E253C"/>
    <w:rsid w:val="004F0C55"/>
    <w:rsid w:val="00507AFE"/>
    <w:rsid w:val="00510B11"/>
    <w:rsid w:val="00521684"/>
    <w:rsid w:val="00522AE6"/>
    <w:rsid w:val="00530CCE"/>
    <w:rsid w:val="00537914"/>
    <w:rsid w:val="00542B1E"/>
    <w:rsid w:val="00545273"/>
    <w:rsid w:val="00546FD1"/>
    <w:rsid w:val="0055404D"/>
    <w:rsid w:val="00557EF8"/>
    <w:rsid w:val="00560442"/>
    <w:rsid w:val="00565B53"/>
    <w:rsid w:val="005676DA"/>
    <w:rsid w:val="00576F78"/>
    <w:rsid w:val="00582455"/>
    <w:rsid w:val="00584171"/>
    <w:rsid w:val="005A6F8B"/>
    <w:rsid w:val="005B2D99"/>
    <w:rsid w:val="005B5AFD"/>
    <w:rsid w:val="005B61E7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20439"/>
    <w:rsid w:val="006274B0"/>
    <w:rsid w:val="0063366C"/>
    <w:rsid w:val="00635319"/>
    <w:rsid w:val="00646FA2"/>
    <w:rsid w:val="006521C5"/>
    <w:rsid w:val="00652EA3"/>
    <w:rsid w:val="00654848"/>
    <w:rsid w:val="00654D3C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C3004"/>
    <w:rsid w:val="006C57E9"/>
    <w:rsid w:val="006D2EAA"/>
    <w:rsid w:val="006D4F3A"/>
    <w:rsid w:val="0070648C"/>
    <w:rsid w:val="00706A12"/>
    <w:rsid w:val="00714115"/>
    <w:rsid w:val="00721771"/>
    <w:rsid w:val="00730E54"/>
    <w:rsid w:val="00733F6B"/>
    <w:rsid w:val="0073495A"/>
    <w:rsid w:val="00754002"/>
    <w:rsid w:val="0075414A"/>
    <w:rsid w:val="00764691"/>
    <w:rsid w:val="00766033"/>
    <w:rsid w:val="00766BB3"/>
    <w:rsid w:val="00774648"/>
    <w:rsid w:val="00787C55"/>
    <w:rsid w:val="00796467"/>
    <w:rsid w:val="007A1093"/>
    <w:rsid w:val="007B42CB"/>
    <w:rsid w:val="007C1AA1"/>
    <w:rsid w:val="007C5ABD"/>
    <w:rsid w:val="007D3690"/>
    <w:rsid w:val="007D76AC"/>
    <w:rsid w:val="007E0750"/>
    <w:rsid w:val="007F7C02"/>
    <w:rsid w:val="008052CA"/>
    <w:rsid w:val="00810F7D"/>
    <w:rsid w:val="00815A23"/>
    <w:rsid w:val="008170DE"/>
    <w:rsid w:val="00821151"/>
    <w:rsid w:val="00821512"/>
    <w:rsid w:val="00836D9E"/>
    <w:rsid w:val="00841E88"/>
    <w:rsid w:val="00856385"/>
    <w:rsid w:val="008635C7"/>
    <w:rsid w:val="0086562D"/>
    <w:rsid w:val="00867E1F"/>
    <w:rsid w:val="008729D4"/>
    <w:rsid w:val="00872F34"/>
    <w:rsid w:val="00884FB9"/>
    <w:rsid w:val="00892E5D"/>
    <w:rsid w:val="00896E83"/>
    <w:rsid w:val="00897C04"/>
    <w:rsid w:val="008A26E8"/>
    <w:rsid w:val="008A3C74"/>
    <w:rsid w:val="008A52A2"/>
    <w:rsid w:val="008B2730"/>
    <w:rsid w:val="008B5A6E"/>
    <w:rsid w:val="008B68E0"/>
    <w:rsid w:val="008C38E9"/>
    <w:rsid w:val="009126B4"/>
    <w:rsid w:val="00913034"/>
    <w:rsid w:val="0093648E"/>
    <w:rsid w:val="00955517"/>
    <w:rsid w:val="009566C6"/>
    <w:rsid w:val="009651AD"/>
    <w:rsid w:val="009701E3"/>
    <w:rsid w:val="009761F3"/>
    <w:rsid w:val="00977AEB"/>
    <w:rsid w:val="009800D9"/>
    <w:rsid w:val="00980AD1"/>
    <w:rsid w:val="00987A1A"/>
    <w:rsid w:val="00990CB9"/>
    <w:rsid w:val="009A1B7A"/>
    <w:rsid w:val="009A22F7"/>
    <w:rsid w:val="009A37DA"/>
    <w:rsid w:val="009B116E"/>
    <w:rsid w:val="009B6660"/>
    <w:rsid w:val="009C3C2E"/>
    <w:rsid w:val="009E3951"/>
    <w:rsid w:val="009E3EA6"/>
    <w:rsid w:val="009E4AA4"/>
    <w:rsid w:val="009E4E70"/>
    <w:rsid w:val="009E5656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32F4C"/>
    <w:rsid w:val="00A36195"/>
    <w:rsid w:val="00A40696"/>
    <w:rsid w:val="00A6008F"/>
    <w:rsid w:val="00A77EEA"/>
    <w:rsid w:val="00A80FA7"/>
    <w:rsid w:val="00A81CAB"/>
    <w:rsid w:val="00A92ECA"/>
    <w:rsid w:val="00A93D6F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6FF9"/>
    <w:rsid w:val="00B52108"/>
    <w:rsid w:val="00B670DE"/>
    <w:rsid w:val="00B7024B"/>
    <w:rsid w:val="00B704A0"/>
    <w:rsid w:val="00B71160"/>
    <w:rsid w:val="00BA25A6"/>
    <w:rsid w:val="00BB1DE4"/>
    <w:rsid w:val="00BB2E21"/>
    <w:rsid w:val="00BC2F97"/>
    <w:rsid w:val="00BD0295"/>
    <w:rsid w:val="00BD2889"/>
    <w:rsid w:val="00BD35FB"/>
    <w:rsid w:val="00BF1950"/>
    <w:rsid w:val="00BF51FB"/>
    <w:rsid w:val="00BF77D8"/>
    <w:rsid w:val="00C0633C"/>
    <w:rsid w:val="00C07162"/>
    <w:rsid w:val="00C33DC3"/>
    <w:rsid w:val="00C43B8E"/>
    <w:rsid w:val="00C47C5B"/>
    <w:rsid w:val="00C5070C"/>
    <w:rsid w:val="00C5264F"/>
    <w:rsid w:val="00C65F69"/>
    <w:rsid w:val="00C71742"/>
    <w:rsid w:val="00C74176"/>
    <w:rsid w:val="00C82233"/>
    <w:rsid w:val="00C979A5"/>
    <w:rsid w:val="00CA3B95"/>
    <w:rsid w:val="00CA7845"/>
    <w:rsid w:val="00CB1587"/>
    <w:rsid w:val="00CC1C5B"/>
    <w:rsid w:val="00CC4C95"/>
    <w:rsid w:val="00CC6A28"/>
    <w:rsid w:val="00CD2C47"/>
    <w:rsid w:val="00CE1B2F"/>
    <w:rsid w:val="00CE71D3"/>
    <w:rsid w:val="00CF2589"/>
    <w:rsid w:val="00CF2E07"/>
    <w:rsid w:val="00CF3152"/>
    <w:rsid w:val="00D002CD"/>
    <w:rsid w:val="00D11B48"/>
    <w:rsid w:val="00D247A8"/>
    <w:rsid w:val="00D36C91"/>
    <w:rsid w:val="00D43C48"/>
    <w:rsid w:val="00D502FF"/>
    <w:rsid w:val="00D52869"/>
    <w:rsid w:val="00D5727A"/>
    <w:rsid w:val="00D7743D"/>
    <w:rsid w:val="00D876E6"/>
    <w:rsid w:val="00D92021"/>
    <w:rsid w:val="00D92058"/>
    <w:rsid w:val="00D9350E"/>
    <w:rsid w:val="00D9406E"/>
    <w:rsid w:val="00DA23F3"/>
    <w:rsid w:val="00DA7B31"/>
    <w:rsid w:val="00DB0907"/>
    <w:rsid w:val="00DB4880"/>
    <w:rsid w:val="00DB65CC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265D9"/>
    <w:rsid w:val="00E27282"/>
    <w:rsid w:val="00E3500B"/>
    <w:rsid w:val="00E42620"/>
    <w:rsid w:val="00E44D0B"/>
    <w:rsid w:val="00E53AD5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F04D16"/>
    <w:rsid w:val="00F12C7D"/>
    <w:rsid w:val="00F21C90"/>
    <w:rsid w:val="00F418F4"/>
    <w:rsid w:val="00F46830"/>
    <w:rsid w:val="00F62DD9"/>
    <w:rsid w:val="00F63546"/>
    <w:rsid w:val="00F71A89"/>
    <w:rsid w:val="00F7435B"/>
    <w:rsid w:val="00F93B9F"/>
    <w:rsid w:val="00F96C83"/>
    <w:rsid w:val="00F96D1F"/>
    <w:rsid w:val="00FB2C51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33</Pages>
  <Words>11055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20</cp:revision>
  <cp:lastPrinted>2018-01-18T13:05:00Z</cp:lastPrinted>
  <dcterms:created xsi:type="dcterms:W3CDTF">2018-09-16T02:36:00Z</dcterms:created>
  <dcterms:modified xsi:type="dcterms:W3CDTF">2019-03-01T12:57:00Z</dcterms:modified>
</cp:coreProperties>
</file>